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3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218"/>
      </w:tblGrid>
      <w:tr w:rsidR="00E87491" w:rsidRPr="00D763B5" w:rsidTr="008F3FA8">
        <w:tc>
          <w:tcPr>
            <w:tcW w:w="9576" w:type="dxa"/>
            <w:gridSpan w:val="2"/>
            <w:tcBorders>
              <w:top w:val="nil"/>
              <w:left w:val="nil"/>
              <w:bottom w:val="nil"/>
              <w:right w:val="nil"/>
            </w:tcBorders>
            <w:shd w:val="clear" w:color="auto" w:fill="FFFFFF" w:themeFill="background1"/>
          </w:tcPr>
          <w:p w:rsidR="00E87491" w:rsidRPr="00E87491" w:rsidRDefault="00E87491" w:rsidP="00D22C3A">
            <w:pPr>
              <w:rPr>
                <w:rFonts w:ascii="Arial" w:hAnsi="Arial" w:cs="Arial"/>
                <w:b/>
              </w:rPr>
            </w:pPr>
            <w:bookmarkStart w:id="0" w:name="_GoBack"/>
            <w:r w:rsidRPr="00E87491">
              <w:rPr>
                <w:rFonts w:ascii="Arial" w:hAnsi="Arial" w:cs="Arial"/>
                <w:b/>
              </w:rPr>
              <w:t>1.0</w:t>
            </w:r>
            <w:r w:rsidR="001B5CC3">
              <w:rPr>
                <w:rFonts w:ascii="Arial" w:hAnsi="Arial" w:cs="Arial"/>
                <w:b/>
              </w:rPr>
              <w:t>3</w:t>
            </w:r>
            <w:r w:rsidRPr="00E87491">
              <w:rPr>
                <w:rFonts w:ascii="Arial" w:hAnsi="Arial" w:cs="Arial"/>
                <w:b/>
              </w:rPr>
              <w:t xml:space="preserve"> Terminology - </w:t>
            </w:r>
            <w:r w:rsidR="00D22C3A">
              <w:rPr>
                <w:rFonts w:ascii="Arial" w:hAnsi="Arial" w:cs="Arial"/>
                <w:b/>
              </w:rPr>
              <w:t>KEY</w:t>
            </w:r>
            <w:bookmarkEnd w:id="0"/>
          </w:p>
        </w:tc>
      </w:tr>
      <w:tr w:rsidR="00D763B5" w:rsidRPr="00D763B5" w:rsidTr="008F3FA8">
        <w:tc>
          <w:tcPr>
            <w:tcW w:w="9576" w:type="dxa"/>
            <w:gridSpan w:val="2"/>
            <w:tcBorders>
              <w:top w:val="nil"/>
              <w:left w:val="nil"/>
              <w:bottom w:val="nil"/>
              <w:right w:val="nil"/>
            </w:tcBorders>
            <w:shd w:val="clear" w:color="auto" w:fill="FFFFFF" w:themeFill="background1"/>
          </w:tcPr>
          <w:p w:rsidR="00D763B5" w:rsidRPr="00D763B5" w:rsidRDefault="00D763B5" w:rsidP="00D763B5">
            <w:pPr>
              <w:rPr>
                <w:rFonts w:ascii="Arial" w:hAnsi="Arial" w:cs="Arial"/>
                <w:b/>
              </w:rPr>
            </w:pPr>
            <w:r w:rsidRPr="00D763B5">
              <w:rPr>
                <w:rFonts w:ascii="Arial" w:hAnsi="Arial" w:cs="Arial"/>
                <w:b/>
                <w:u w:val="single"/>
              </w:rPr>
              <w:t>Directions</w:t>
            </w:r>
            <w:r w:rsidRPr="00D763B5">
              <w:rPr>
                <w:rFonts w:ascii="Arial" w:hAnsi="Arial" w:cs="Arial"/>
                <w:b/>
              </w:rPr>
              <w:t>:  Record key terms and definitions on this chart as they are encountered throughout this objective.</w:t>
            </w:r>
          </w:p>
        </w:tc>
      </w:tr>
      <w:tr w:rsidR="00D763B5" w:rsidRPr="00D763B5" w:rsidTr="008F3FA8">
        <w:tc>
          <w:tcPr>
            <w:tcW w:w="9576" w:type="dxa"/>
            <w:gridSpan w:val="2"/>
            <w:tcBorders>
              <w:top w:val="nil"/>
              <w:left w:val="nil"/>
              <w:right w:val="nil"/>
            </w:tcBorders>
            <w:shd w:val="clear" w:color="auto" w:fill="FFFFFF" w:themeFill="background1"/>
          </w:tcPr>
          <w:p w:rsidR="00D763B5" w:rsidRPr="00D763B5" w:rsidRDefault="00D763B5" w:rsidP="001B5CC3">
            <w:pPr>
              <w:rPr>
                <w:b/>
              </w:rPr>
            </w:pPr>
            <w:r>
              <w:rPr>
                <w:b/>
              </w:rPr>
              <w:t>1.0</w:t>
            </w:r>
            <w:r w:rsidR="001B5CC3">
              <w:rPr>
                <w:b/>
              </w:rPr>
              <w:t>3</w:t>
            </w:r>
            <w:r>
              <w:rPr>
                <w:b/>
              </w:rPr>
              <w:t xml:space="preserve"> Understand </w:t>
            </w:r>
            <w:r w:rsidR="001B5CC3">
              <w:rPr>
                <w:b/>
              </w:rPr>
              <w:t xml:space="preserve">residents’ rights, advocacy, and grievance procedures. </w:t>
            </w:r>
          </w:p>
        </w:tc>
      </w:tr>
      <w:tr w:rsidR="00D763B5" w:rsidRPr="00D763B5" w:rsidTr="00D763B5">
        <w:tc>
          <w:tcPr>
            <w:tcW w:w="2358" w:type="dxa"/>
            <w:shd w:val="clear" w:color="auto" w:fill="F2F2F2"/>
          </w:tcPr>
          <w:p w:rsidR="00D763B5" w:rsidRPr="00D763B5" w:rsidRDefault="00D763B5" w:rsidP="00D763B5">
            <w:pPr>
              <w:rPr>
                <w:b/>
              </w:rPr>
            </w:pPr>
            <w:r w:rsidRPr="00D763B5">
              <w:rPr>
                <w:b/>
              </w:rPr>
              <w:t>Term</w:t>
            </w:r>
          </w:p>
        </w:tc>
        <w:tc>
          <w:tcPr>
            <w:tcW w:w="7218" w:type="dxa"/>
            <w:shd w:val="clear" w:color="auto" w:fill="F2F2F2"/>
          </w:tcPr>
          <w:p w:rsidR="00D763B5" w:rsidRPr="00D763B5" w:rsidRDefault="00D763B5" w:rsidP="00D763B5">
            <w:pPr>
              <w:rPr>
                <w:b/>
              </w:rPr>
            </w:pPr>
            <w:r w:rsidRPr="00D763B5">
              <w:rPr>
                <w:b/>
              </w:rPr>
              <w:t>Definition</w:t>
            </w:r>
          </w:p>
        </w:tc>
      </w:tr>
      <w:tr w:rsidR="00D763B5" w:rsidRPr="00D763B5" w:rsidTr="00D763B5">
        <w:tc>
          <w:tcPr>
            <w:tcW w:w="2358" w:type="dxa"/>
          </w:tcPr>
          <w:p w:rsidR="00D763B5" w:rsidRPr="00D763B5" w:rsidRDefault="001B5CC3" w:rsidP="00D763B5">
            <w:r>
              <w:t>OBRA</w:t>
            </w:r>
          </w:p>
        </w:tc>
        <w:tc>
          <w:tcPr>
            <w:tcW w:w="7218" w:type="dxa"/>
          </w:tcPr>
          <w:p w:rsidR="00D763B5" w:rsidRPr="00D763B5" w:rsidRDefault="001B5CC3" w:rsidP="00EA0509">
            <w:r w:rsidRPr="001B5CC3">
              <w:rPr>
                <w:b/>
              </w:rPr>
              <w:t>O</w:t>
            </w:r>
            <w:r>
              <w:t xml:space="preserve">mnibus </w:t>
            </w:r>
            <w:r w:rsidRPr="001B5CC3">
              <w:rPr>
                <w:b/>
              </w:rPr>
              <w:t>B</w:t>
            </w:r>
            <w:r>
              <w:t xml:space="preserve">udget </w:t>
            </w:r>
            <w:r w:rsidRPr="001B5CC3">
              <w:rPr>
                <w:b/>
              </w:rPr>
              <w:t>R</w:t>
            </w:r>
            <w:r>
              <w:t xml:space="preserve">econciliation </w:t>
            </w:r>
            <w:r w:rsidRPr="001B5CC3">
              <w:rPr>
                <w:b/>
              </w:rPr>
              <w:t>A</w:t>
            </w:r>
            <w:r>
              <w:t xml:space="preserve">ct.  Passed by US Government in 1987.  Set requirements for nurse aide training, competency testing, and listing on a state registry.  </w:t>
            </w:r>
            <w:r w:rsidR="00EA0509">
              <w:t xml:space="preserve">Identifies Residents Rights in a LTC facility.  In 1990 started resident assessment requirements in LTCs.  Sets requirements </w:t>
            </w:r>
            <w:proofErr w:type="gramStart"/>
            <w:r w:rsidR="00EA0509">
              <w:t>for  LTC</w:t>
            </w:r>
            <w:proofErr w:type="gramEnd"/>
            <w:r w:rsidR="00EA0509">
              <w:t xml:space="preserve"> survey or audit. </w:t>
            </w:r>
          </w:p>
        </w:tc>
      </w:tr>
      <w:tr w:rsidR="00D763B5" w:rsidRPr="00D763B5" w:rsidTr="00D763B5">
        <w:tc>
          <w:tcPr>
            <w:tcW w:w="2358" w:type="dxa"/>
          </w:tcPr>
          <w:p w:rsidR="00D763B5" w:rsidRPr="00D763B5" w:rsidRDefault="00EA0509" w:rsidP="00D763B5">
            <w:r>
              <w:t>Restraint</w:t>
            </w:r>
          </w:p>
        </w:tc>
        <w:tc>
          <w:tcPr>
            <w:tcW w:w="7218" w:type="dxa"/>
          </w:tcPr>
          <w:p w:rsidR="00D763B5" w:rsidRPr="00D763B5" w:rsidRDefault="00030CA1" w:rsidP="00D763B5">
            <w:r w:rsidRPr="00030CA1">
              <w:t>Any manual method, physical or mechanical device, material, or equipment attached or next to the resident’s body that the individual cannot remove easily, which restricts freedom of movement or normal access to one’s body</w:t>
            </w:r>
          </w:p>
        </w:tc>
      </w:tr>
      <w:tr w:rsidR="00D763B5" w:rsidRPr="00D763B5" w:rsidTr="00D763B5">
        <w:tc>
          <w:tcPr>
            <w:tcW w:w="2358" w:type="dxa"/>
          </w:tcPr>
          <w:p w:rsidR="00D763B5" w:rsidRPr="00D763B5" w:rsidRDefault="00030CA1" w:rsidP="00D763B5">
            <w:r>
              <w:t>Restraint free facility</w:t>
            </w:r>
          </w:p>
        </w:tc>
        <w:tc>
          <w:tcPr>
            <w:tcW w:w="7218" w:type="dxa"/>
          </w:tcPr>
          <w:p w:rsidR="00D763B5" w:rsidRPr="00D763B5" w:rsidRDefault="00030CA1" w:rsidP="00D763B5">
            <w:r w:rsidRPr="00030CA1">
              <w:t>Restraints are not used for any reason and not kept in the facility</w:t>
            </w:r>
          </w:p>
        </w:tc>
      </w:tr>
      <w:tr w:rsidR="00D763B5" w:rsidRPr="00D763B5" w:rsidTr="00D763B5">
        <w:tc>
          <w:tcPr>
            <w:tcW w:w="2358" w:type="dxa"/>
          </w:tcPr>
          <w:p w:rsidR="00D763B5" w:rsidRPr="00D763B5" w:rsidRDefault="00030CA1" w:rsidP="00D763B5">
            <w:r>
              <w:t>Personal Electronic Warning Device</w:t>
            </w:r>
          </w:p>
        </w:tc>
        <w:tc>
          <w:tcPr>
            <w:tcW w:w="7218" w:type="dxa"/>
          </w:tcPr>
          <w:p w:rsidR="00D763B5" w:rsidRPr="00D763B5" w:rsidRDefault="00030CA1" w:rsidP="00D763B5">
            <w:r w:rsidRPr="00030CA1">
              <w:t xml:space="preserve">Electronic warning devices on beds, wheelchairs,  and doors alert staff </w:t>
            </w:r>
            <w:r>
              <w:t>if patient gets up without help</w:t>
            </w:r>
          </w:p>
        </w:tc>
      </w:tr>
      <w:tr w:rsidR="00D763B5" w:rsidRPr="00D763B5" w:rsidTr="00D763B5">
        <w:tc>
          <w:tcPr>
            <w:tcW w:w="2358" w:type="dxa"/>
          </w:tcPr>
          <w:p w:rsidR="00D763B5" w:rsidRPr="00D763B5" w:rsidRDefault="00030CA1" w:rsidP="00D763B5">
            <w:r>
              <w:t>Resident Advocate</w:t>
            </w:r>
          </w:p>
        </w:tc>
        <w:tc>
          <w:tcPr>
            <w:tcW w:w="7218" w:type="dxa"/>
          </w:tcPr>
          <w:p w:rsidR="00D763B5" w:rsidRPr="00D763B5" w:rsidRDefault="00030CA1" w:rsidP="00030CA1">
            <w:r>
              <w:t>Plead cause of another (resident), Resolve grievances of the resident, Protect resident’s rights</w:t>
            </w:r>
          </w:p>
        </w:tc>
      </w:tr>
      <w:tr w:rsidR="00D763B5" w:rsidRPr="00D763B5" w:rsidTr="00D763B5">
        <w:tc>
          <w:tcPr>
            <w:tcW w:w="2358" w:type="dxa"/>
          </w:tcPr>
          <w:p w:rsidR="00D763B5" w:rsidRPr="00D763B5" w:rsidRDefault="00030CA1" w:rsidP="00D763B5">
            <w:r>
              <w:t>Grievance</w:t>
            </w:r>
          </w:p>
        </w:tc>
        <w:tc>
          <w:tcPr>
            <w:tcW w:w="7218" w:type="dxa"/>
          </w:tcPr>
          <w:p w:rsidR="00D763B5" w:rsidRPr="00D763B5" w:rsidRDefault="00030CA1" w:rsidP="00D763B5">
            <w:r>
              <w:t>A complaint based on a circumstance where there is a feeling of being wronged.</w:t>
            </w:r>
          </w:p>
        </w:tc>
      </w:tr>
      <w:tr w:rsidR="00D763B5" w:rsidRPr="00D763B5" w:rsidTr="00D763B5">
        <w:tc>
          <w:tcPr>
            <w:tcW w:w="2358" w:type="dxa"/>
          </w:tcPr>
          <w:p w:rsidR="00D763B5" w:rsidRPr="00D763B5" w:rsidRDefault="00D22C3A" w:rsidP="00D763B5">
            <w:r>
              <w:t>Resident Council: Advisory Group</w:t>
            </w:r>
          </w:p>
        </w:tc>
        <w:tc>
          <w:tcPr>
            <w:tcW w:w="7218" w:type="dxa"/>
          </w:tcPr>
          <w:p w:rsidR="00D763B5" w:rsidRPr="00D763B5" w:rsidRDefault="00D22C3A" w:rsidP="00D763B5">
            <w:r>
              <w:t xml:space="preserve">Provides opportunity for discussion on facility policies, activities, concerns, and resolution of grievance.  Resident Council: or Advisory Group gives residents a voice in LTC operations.  Members include residents, facility staff members to include nurse aides, representatives from the community. </w:t>
            </w:r>
          </w:p>
        </w:tc>
      </w:tr>
    </w:tbl>
    <w:p w:rsidR="00D763B5" w:rsidRPr="00D763B5" w:rsidRDefault="00D763B5" w:rsidP="00D763B5"/>
    <w:sectPr w:rsidR="00D763B5" w:rsidRPr="00D763B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075" w:rsidRDefault="008F1075" w:rsidP="00D763B5">
      <w:pPr>
        <w:spacing w:after="0" w:line="240" w:lineRule="auto"/>
      </w:pPr>
      <w:r>
        <w:separator/>
      </w:r>
    </w:p>
  </w:endnote>
  <w:endnote w:type="continuationSeparator" w:id="0">
    <w:p w:rsidR="008F1075" w:rsidRDefault="008F1075" w:rsidP="00D76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B5" w:rsidRDefault="00D763B5">
    <w:pPr>
      <w:pStyle w:val="Footer"/>
    </w:pPr>
    <w:r>
      <w:t>1.0</w:t>
    </w:r>
    <w:r w:rsidR="001B5CC3">
      <w:t>3</w:t>
    </w:r>
    <w:r>
      <w:ptab w:relativeTo="margin" w:alignment="center" w:leader="none"/>
    </w:r>
    <w:r>
      <w:ptab w:relativeTo="margin" w:alignment="right" w:leader="none"/>
    </w:r>
    <w:r>
      <w:fldChar w:fldCharType="begin"/>
    </w:r>
    <w:r>
      <w:instrText xml:space="preserve"> PAGE   \* MERGEFORMAT </w:instrText>
    </w:r>
    <w:r>
      <w:fldChar w:fldCharType="separate"/>
    </w:r>
    <w:r w:rsidR="00F147F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075" w:rsidRDefault="008F1075" w:rsidP="00D763B5">
      <w:pPr>
        <w:spacing w:after="0" w:line="240" w:lineRule="auto"/>
      </w:pPr>
      <w:r>
        <w:separator/>
      </w:r>
    </w:p>
  </w:footnote>
  <w:footnote w:type="continuationSeparator" w:id="0">
    <w:p w:rsidR="008F1075" w:rsidRDefault="008F1075" w:rsidP="00D76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B5" w:rsidRDefault="00D763B5">
    <w:pPr>
      <w:pStyle w:val="Header"/>
    </w:pPr>
    <w:r>
      <w:t xml:space="preserve">Nursing Fundamentals </w:t>
    </w:r>
    <w:r w:rsidR="00777699">
      <w:t>HN</w:t>
    </w:r>
    <w:r>
      <w:t>43</w:t>
    </w:r>
  </w:p>
  <w:p w:rsidR="00D763B5" w:rsidRDefault="00D763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3B5"/>
    <w:rsid w:val="00030CA1"/>
    <w:rsid w:val="000379BB"/>
    <w:rsid w:val="00111083"/>
    <w:rsid w:val="001A2608"/>
    <w:rsid w:val="001B5CC3"/>
    <w:rsid w:val="00210CE5"/>
    <w:rsid w:val="003B1521"/>
    <w:rsid w:val="004D29DE"/>
    <w:rsid w:val="005E199C"/>
    <w:rsid w:val="005F6F4C"/>
    <w:rsid w:val="00777699"/>
    <w:rsid w:val="008E077D"/>
    <w:rsid w:val="008F1075"/>
    <w:rsid w:val="008F3FA8"/>
    <w:rsid w:val="00BC1417"/>
    <w:rsid w:val="00D22C3A"/>
    <w:rsid w:val="00D763B5"/>
    <w:rsid w:val="00DE3DFB"/>
    <w:rsid w:val="00DF2B78"/>
    <w:rsid w:val="00E87491"/>
    <w:rsid w:val="00EA0509"/>
    <w:rsid w:val="00F1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3B5"/>
    <w:rPr>
      <w:color w:val="0000FF" w:themeColor="hyperlink"/>
      <w:u w:val="single"/>
    </w:rPr>
  </w:style>
  <w:style w:type="paragraph" w:styleId="Header">
    <w:name w:val="header"/>
    <w:basedOn w:val="Normal"/>
    <w:link w:val="HeaderChar"/>
    <w:uiPriority w:val="99"/>
    <w:unhideWhenUsed/>
    <w:rsid w:val="00D76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B5"/>
  </w:style>
  <w:style w:type="paragraph" w:styleId="Footer">
    <w:name w:val="footer"/>
    <w:basedOn w:val="Normal"/>
    <w:link w:val="FooterChar"/>
    <w:uiPriority w:val="99"/>
    <w:unhideWhenUsed/>
    <w:rsid w:val="00D76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B5"/>
  </w:style>
  <w:style w:type="paragraph" w:styleId="BalloonText">
    <w:name w:val="Balloon Text"/>
    <w:basedOn w:val="Normal"/>
    <w:link w:val="BalloonTextChar"/>
    <w:uiPriority w:val="99"/>
    <w:semiHidden/>
    <w:unhideWhenUsed/>
    <w:rsid w:val="00D76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3B5"/>
    <w:rPr>
      <w:color w:val="0000FF" w:themeColor="hyperlink"/>
      <w:u w:val="single"/>
    </w:rPr>
  </w:style>
  <w:style w:type="paragraph" w:styleId="Header">
    <w:name w:val="header"/>
    <w:basedOn w:val="Normal"/>
    <w:link w:val="HeaderChar"/>
    <w:uiPriority w:val="99"/>
    <w:unhideWhenUsed/>
    <w:rsid w:val="00D76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B5"/>
  </w:style>
  <w:style w:type="paragraph" w:styleId="Footer">
    <w:name w:val="footer"/>
    <w:basedOn w:val="Normal"/>
    <w:link w:val="FooterChar"/>
    <w:uiPriority w:val="99"/>
    <w:unhideWhenUsed/>
    <w:rsid w:val="00D76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B5"/>
  </w:style>
  <w:style w:type="paragraph" w:styleId="BalloonText">
    <w:name w:val="Balloon Text"/>
    <w:basedOn w:val="Normal"/>
    <w:link w:val="BalloonTextChar"/>
    <w:uiPriority w:val="99"/>
    <w:semiHidden/>
    <w:unhideWhenUsed/>
    <w:rsid w:val="00D76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dpi</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dpi-xp</dc:creator>
  <cp:lastModifiedBy>Anne Whisnant</cp:lastModifiedBy>
  <cp:revision>2</cp:revision>
  <dcterms:created xsi:type="dcterms:W3CDTF">2014-02-26T17:34:00Z</dcterms:created>
  <dcterms:modified xsi:type="dcterms:W3CDTF">2014-02-26T17:34:00Z</dcterms:modified>
</cp:coreProperties>
</file>